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 3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jc w:val="center"/>
        <w:ind w:right="-1"/>
        <w:spacing w:after="0" w:line="43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8"/>
          <w:szCs w:val="38"/>
          <w:color w:val="auto"/>
        </w:rPr>
        <w:t>非限制进口类可用作原料的固体废物目录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1" w:lineRule="exact"/>
        <w:rPr>
          <w:sz w:val="24"/>
          <w:szCs w:val="24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9"/>
        </w:trPr>
        <w:tc>
          <w:tcPr>
            <w:tcW w:w="9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海关商品编号</w:t>
            </w:r>
          </w:p>
        </w:tc>
        <w:tc>
          <w:tcPr>
            <w:tcW w:w="4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5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证 书 名 称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适用环境保护控制标准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27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一、木及软木废料</w:t>
            </w: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1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4401310000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木屑棒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木废料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16487.3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2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4401390000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其他锯末、木废料及碎片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3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4501901000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软木废料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软木废料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16487.3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7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二、金属和金属合金废碎料</w:t>
            </w: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4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7112911010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金的废碎料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金的废碎料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5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7112911090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包金的废碎料（但含有其他贵金属除外）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包金的废碎料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6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7112921000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铂及包铂的废碎料（但含有其他贵金属除外、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铂及包铂的废碎料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主要用于回收铂）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7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7204100000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铸铁废碎料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废钢铁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8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7204290000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其他合金钢废碎料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废钢铁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9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7204300000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镀锡钢铁废碎料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废钢铁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9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19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  <w:type w:val="continuous"/>
        </w:sectPr>
      </w:pPr>
    </w:p>
    <w:bookmarkStart w:id="1" w:name="page2"/>
    <w:bookmarkEnd w:id="1"/>
    <w:p>
      <w:pPr>
        <w:spacing w:after="0" w:line="24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0"/>
        </w:trPr>
        <w:tc>
          <w:tcPr>
            <w:tcW w:w="9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海关商品编号</w:t>
            </w:r>
          </w:p>
        </w:tc>
        <w:tc>
          <w:tcPr>
            <w:tcW w:w="4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废 物 名 称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5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证 书 名 称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适用环境保护控制标准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其他要求或注释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7204410000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机械加工中产生的钢铁废料（机械加工指车、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废钢铁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刨、铣、磨、锯、锉、剪、冲加工）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11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7204490090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未列明钢铁废碎料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废钢铁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12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7204500000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供再熔的碎料钢铁锭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废钢铁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16487.6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13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7404000090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其他铜废碎料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铜废碎料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14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7503000000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镍废碎料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镍废碎料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15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7602000090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其他铝废碎料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铝废碎料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16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7902000000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锌废碎料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锌废碎料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17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8002000000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锡废碎料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锡废碎料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9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18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8103300000</w:t>
            </w:r>
          </w:p>
        </w:tc>
        <w:tc>
          <w:tcPr>
            <w:tcW w:w="44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钽废碎料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钽废碎料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16487.7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9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备注：海关商品编号栏仅供参考。</w:t>
      </w:r>
    </w:p>
    <w:p>
      <w:pPr>
        <w:sectPr>
          <w:pgSz w:w="16840" w:h="11906" w:orient="landscape"/>
          <w:cols w:equalWidth="0" w:num="1">
            <w:col w:w="13958"/>
          </w:cols>
          <w:pgMar w:left="1440" w:top="1440" w:right="1440" w:bottom="7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jc w:val="center"/>
        <w:ind w:right="18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 xml:space="preserve">—  </w:t>
      </w:r>
      <w:r>
        <w:rPr>
          <w:rFonts w:ascii="宋体" w:cs="宋体" w:eastAsia="宋体" w:hAnsi="宋体"/>
          <w:sz w:val="21"/>
          <w:szCs w:val="21"/>
          <w:color w:val="auto"/>
        </w:rPr>
        <w:t>20</w:t>
      </w:r>
      <w:r>
        <w:rPr>
          <w:rFonts w:ascii="宋体" w:cs="宋体" w:eastAsia="宋体" w:hAnsi="宋体"/>
          <w:sz w:val="24"/>
          <w:szCs w:val="24"/>
          <w:color w:val="auto"/>
        </w:rPr>
        <w:t xml:space="preserve">  —</w:t>
      </w:r>
    </w:p>
    <w:sectPr>
      <w:pgSz w:w="16840" w:h="11906" w:orient="landscape"/>
      <w:cols w:equalWidth="0" w:num="1">
        <w:col w:w="13958"/>
      </w:cols>
      <w:pgMar w:left="1440" w:top="1440" w:right="1440" w:bottom="74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2017-08-29T10:34:21Z</dcterms:created>
  <dcterms:modified xsi:type="dcterms:W3CDTF">2017-08-29T10:34:21Z</dcterms:modified>
</cp:coreProperties>
</file>